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480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94"/>
        <w:gridCol w:w="2163"/>
        <w:gridCol w:w="6223"/>
      </w:tblGrid>
      <w:tr>
        <w:tblPrEx>
          <w:shd w:val="clear" w:color="auto" w:fill="ced7e7"/>
        </w:tblPrEx>
        <w:trPr>
          <w:trHeight w:val="661" w:hRule="atLeast"/>
        </w:trPr>
        <w:tc>
          <w:tcPr>
            <w:tcW w:type="dxa" w:w="20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zh-TW" w:eastAsia="zh-TW"/>
              </w:rPr>
              <w:t>社团信息</w:t>
            </w:r>
          </w:p>
        </w:tc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zh-TW" w:eastAsia="zh-TW"/>
              </w:rPr>
              <w:t>社团名称</w:t>
            </w:r>
          </w:p>
        </w:tc>
        <w:tc>
          <w:tcPr>
            <w:tcW w:type="dxa" w:w="62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lang w:val="en-US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Racing Business &amp; Sports Media Society</w:t>
            </w:r>
          </w:p>
          <w:p>
            <w:pPr>
              <w:pStyle w:val="Normal.0"/>
              <w:jc w:val="both"/>
            </w:pP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赛车商业与体育传媒社</w:t>
            </w:r>
          </w:p>
        </w:tc>
      </w:tr>
      <w:tr>
        <w:tblPrEx>
          <w:shd w:val="clear" w:color="auto" w:fill="ced7e7"/>
        </w:tblPrEx>
        <w:trPr>
          <w:trHeight w:val="363" w:hRule="atLeast"/>
        </w:trPr>
        <w:tc>
          <w:tcPr>
            <w:tcW w:type="dxa" w:w="20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zh-TW" w:eastAsia="zh-TW"/>
              </w:rPr>
              <w:t>活动时间</w:t>
            </w:r>
          </w:p>
        </w:tc>
        <w:tc>
          <w:tcPr>
            <w:tcW w:type="dxa" w:w="62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2026.09 - 2027.07</w:t>
            </w:r>
          </w:p>
        </w:tc>
      </w:tr>
      <w:tr>
        <w:tblPrEx>
          <w:shd w:val="clear" w:color="auto" w:fill="ced7e7"/>
        </w:tblPrEx>
        <w:trPr>
          <w:trHeight w:val="359" w:hRule="atLeast"/>
        </w:trPr>
        <w:tc>
          <w:tcPr>
            <w:tcW w:type="dxa" w:w="104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4"/>
                <w:szCs w:val="24"/>
                <w:shd w:val="nil" w:color="auto" w:fill="auto"/>
                <w:rtl w:val="0"/>
                <w:lang w:val="zh-TW" w:eastAsia="zh-TW"/>
              </w:rPr>
              <w:t>社团简介</w:t>
            </w:r>
          </w:p>
        </w:tc>
      </w:tr>
      <w:tr>
        <w:tblPrEx>
          <w:shd w:val="clear" w:color="auto" w:fill="ced7e7"/>
        </w:tblPrEx>
        <w:trPr>
          <w:trHeight w:val="2505" w:hRule="atLeast"/>
        </w:trPr>
        <w:tc>
          <w:tcPr>
            <w:tcW w:type="dxa" w:w="104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lang w:val="zh-TW" w:eastAsia="zh-TW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车经济与传媒社以赛车运动为切入点，聚焦体育经济、赛事运营、品牌营销、媒介传播与城市文旅等议题，探索现代体育赛事背后的完整产业生态。社团将通过案例研讨、数据分析与传媒实践，研究赛事版权、赞助体系、车手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IP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、粉丝经济、票务定价及大奖赛对城市消费与品牌传播的影响。社团同时运营学生新媒体平台，以推文、短视频及专题手册向同龄人普及赛车运动的商业与文化价值，并通过行业访谈、实地调研与跨校分享，引导成员从赛车延伸理解体育产业如何连接商业、媒体、城市与社会。</w:t>
            </w:r>
          </w:p>
        </w:tc>
      </w:tr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104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eastAsia="Songti SC Bold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社团年度活动计划</w:t>
            </w:r>
          </w:p>
        </w:tc>
      </w:tr>
      <w:tr>
        <w:tblPrEx>
          <w:shd w:val="clear" w:color="auto" w:fill="ced7e7"/>
        </w:tblPrEx>
        <w:trPr>
          <w:trHeight w:val="4608" w:hRule="atLeast"/>
        </w:trPr>
        <w:tc>
          <w:tcPr>
            <w:tcW w:type="dxa" w:w="104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lang w:val="zh-TW" w:eastAsia="zh-TW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赛车体育经济研究｜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Motorsport Economics Lab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：以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F1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为案例，研究赛事收入、转播权、赞助、票务、车手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IP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与预算帽，并开展</w:t>
            </w:r>
            <w:r>
              <w:rPr>
                <w:rFonts w:ascii="Songti SC Regular" w:hAnsi="Songti SC Regular" w:hint="default"/>
                <w:sz w:val="24"/>
                <w:szCs w:val="24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1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亿元赛车投资委员会</w:t>
            </w:r>
            <w:r>
              <w:rPr>
                <w:rFonts w:ascii="Songti SC Regular" w:hAnsi="Songti SC Regular" w:hint="default"/>
                <w:sz w:val="24"/>
                <w:szCs w:val="24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模拟分析。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赛车产业媒体平台｜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Motorsport Media Lab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：运营公众号，设置赛车经济、赛事与城市、车手品牌、转播与中国赛车等栏目，发布推文、短视频并制作《赛车产业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101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》电子手册。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赛车转播与赞助挑战：分组扮演版权方、平台、车队、品牌与媒体公司，设计转播、广告植入、青年观众增长及赞助方案，并进行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Pitch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。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大奖赛与城市经济研究：比较上海、新加坡、摩纳哥等赛事对旅游、消费与城市品牌的影响，形成城市经济观察报告。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Songti SC Regular" w:cs="Songti SC Regular" w:hAnsi="Songti SC Regular" w:eastAsia="Songti SC Regular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青少年卡丁车调研：走访本地场馆，研究消费结构、参与门槛与运营模式，提出青少年赛车推广方案。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年度旗舰项目｜</w:t>
            </w:r>
            <w:r>
              <w:rPr>
                <w:rFonts w:ascii="Songti SC Regular" w:hAnsi="Songti SC Regular"/>
                <w:sz w:val="24"/>
                <w:szCs w:val="24"/>
                <w:shd w:val="nil" w:color="auto" w:fill="auto"/>
                <w:rtl w:val="0"/>
                <w:lang w:val="en-US"/>
              </w:rPr>
              <w:t>Motorsport Business Challenge</w:t>
            </w:r>
            <w:r>
              <w:rPr>
                <w:rFonts w:eastAsia="Songti SC Regular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：模拟策划青年赛车嘉年华，完成票务、招商、媒体、文旅合作与预算方案，并进行年度路演。</w:t>
            </w:r>
          </w:p>
        </w:tc>
      </w:tr>
      <w:tr>
        <w:tblPrEx>
          <w:shd w:val="clear" w:color="auto" w:fill="ced7e7"/>
        </w:tblPrEx>
        <w:trPr>
          <w:trHeight w:val="3373" w:hRule="atLeast"/>
        </w:trPr>
        <w:tc>
          <w:tcPr>
            <w:tcW w:type="dxa" w:w="104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zh-CN" w:eastAsia="zh-CN"/>
              </w:rPr>
              <w:t>学生沙龙</w:t>
            </w: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可以围绕真正的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sports economics </w:t>
            </w: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问题展开：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赛事收入结构拆解：门票、赞助、转播权、授权商品、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VIP hospitality </w:t>
            </w: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分别如何赚钱？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F1 Budget Cap </w:t>
            </w: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模拟讨论：预算上限是否真正提高了赛事公平性？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车手市场与运动员经济：成绩、国籍、社媒影响力、赞助价值如何共同决定车手商业价值？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赛事票价研究：大奖赛票价为什么差异巨大？动态定价是否合理？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豪门效应与竞争平衡：为什么体育联盟既需要强队，又不能让强队永远垄断？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女性赛车与体育商业：</w:t>
            </w: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F1 Academy </w:t>
            </w: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等项目如何扩大女性观众与赞助市场？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zh-TW" w:eastAsia="zh-TW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eastAsia="Arial Unicode MS" w:hint="eastAsia"/>
                <w:sz w:val="24"/>
                <w:szCs w:val="24"/>
                <w:shd w:val="nil" w:color="auto" w:fill="auto"/>
                <w:rtl w:val="0"/>
                <w:lang w:val="zh-TW" w:eastAsia="zh-TW"/>
              </w:rPr>
              <w:t>青少年赛车经济：卡丁车培养体系为什么成本极高？赛车运动存在怎样的参与门槛？</w:t>
            </w:r>
          </w:p>
        </w:tc>
      </w:tr>
    </w:tbl>
    <w:p>
      <w:pPr>
        <w:pStyle w:val="Body Text"/>
        <w:widowControl w:val="0"/>
        <w:spacing w:before="120" w:after="120"/>
        <w:ind w:left="108" w:hanging="108"/>
        <w:jc w:val="center"/>
        <w:outlineLvl w:val="0"/>
        <w:rPr>
          <w:b w:val="1"/>
          <w:bCs w:val="1"/>
          <w:spacing w:val="-1"/>
          <w:sz w:val="28"/>
          <w:szCs w:val="28"/>
        </w:rPr>
      </w:pPr>
    </w:p>
    <w:p>
      <w:pPr>
        <w:pStyle w:val="Body Text"/>
        <w:widowControl w:val="0"/>
        <w:spacing w:before="120" w:after="120"/>
        <w:jc w:val="center"/>
        <w:outlineLvl w:val="0"/>
        <w:rPr>
          <w:b w:val="1"/>
          <w:bCs w:val="1"/>
          <w:spacing w:val="-1"/>
          <w:sz w:val="28"/>
          <w:szCs w:val="28"/>
        </w:rPr>
      </w:pPr>
    </w:p>
    <w:p>
      <w:pPr>
        <w:pStyle w:val="Normal.0"/>
        <w:spacing w:before="120" w:after="120"/>
        <w:jc w:val="both"/>
        <w:rPr>
          <w:rFonts w:ascii="Arial" w:cs="Arial" w:hAnsi="Arial" w:eastAsia="Arial"/>
          <w:sz w:val="24"/>
          <w:szCs w:val="24"/>
          <w:lang w:val="zh-TW" w:eastAsia="zh-TW"/>
        </w:rPr>
      </w:pPr>
      <w:r>
        <w:rPr>
          <w:spacing w:val="0"/>
          <w:sz w:val="24"/>
          <w:szCs w:val="24"/>
          <w:rtl w:val="0"/>
          <w:lang w:val="zh-CN" w:eastAsia="zh-CN"/>
        </w:rPr>
        <w:t>社长：</w:t>
      </w:r>
      <w:r>
        <w:rPr>
          <w:rFonts w:ascii="Calibri" w:hAnsi="Calibri"/>
          <w:sz w:val="24"/>
          <w:szCs w:val="24"/>
          <w:rtl w:val="0"/>
          <w:lang w:val="zh-TW" w:eastAsia="zh-TW"/>
        </w:rPr>
        <w:t xml:space="preserve">          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  <w:lang w:val="zh-CN" w:eastAsia="zh-CN"/>
        </w:rPr>
        <w:t>樊融</w:t>
      </w:r>
      <w:r>
        <w:rPr>
          <w:rFonts w:ascii="Calibri" w:hAnsi="Calibri"/>
          <w:sz w:val="24"/>
          <w:szCs w:val="24"/>
          <w:rtl w:val="0"/>
          <w:lang w:val="zh-TW" w:eastAsia="zh-TW"/>
        </w:rPr>
        <w:t xml:space="preserve">                             </w:t>
      </w:r>
      <w:r>
        <w:rPr>
          <w:sz w:val="24"/>
          <w:szCs w:val="24"/>
          <w:rtl w:val="0"/>
          <w:lang w:val="zh-TW" w:eastAsia="zh-TW"/>
        </w:rPr>
        <w:t>指导老师：</w:t>
      </w:r>
      <w:r>
        <w:rPr>
          <w:sz w:val="24"/>
          <w:szCs w:val="24"/>
          <w:rtl w:val="0"/>
          <w:lang w:val="zh-CN" w:eastAsia="zh-CN"/>
        </w:rPr>
        <w:t>邵一桐</w:t>
      </w:r>
    </w:p>
    <w:p>
      <w:pPr>
        <w:pStyle w:val="Normal.0"/>
        <w:spacing w:before="120" w:after="120"/>
        <w:jc w:val="both"/>
        <w:rPr>
          <w:rFonts w:ascii="Arial" w:cs="Arial" w:hAnsi="Arial" w:eastAsia="Arial"/>
          <w:sz w:val="24"/>
          <w:szCs w:val="24"/>
        </w:rPr>
      </w:pPr>
      <w:r>
        <w:rPr>
          <w:sz w:val="24"/>
          <w:szCs w:val="24"/>
          <w:rtl w:val="0"/>
          <w:lang w:val="zh-TW" w:eastAsia="zh-TW"/>
        </w:rPr>
        <w:t>社员</w:t>
      </w:r>
      <w:r>
        <w:rPr>
          <w:sz w:val="24"/>
          <w:szCs w:val="24"/>
          <w:rtl w:val="0"/>
          <w:lang w:val="zh-CN" w:eastAsia="zh-CN"/>
        </w:rPr>
        <w:t>（目前）</w:t>
      </w:r>
      <w:r>
        <w:rPr>
          <w:sz w:val="24"/>
          <w:szCs w:val="24"/>
          <w:rtl w:val="0"/>
          <w:lang w:val="zh-TW" w:eastAsia="zh-TW"/>
        </w:rPr>
        <w:t>：</w:t>
      </w:r>
      <w:r>
        <w:rPr>
          <w:sz w:val="24"/>
          <w:szCs w:val="24"/>
          <w:rtl w:val="0"/>
          <w:lang w:val="zh-CN" w:eastAsia="zh-CN"/>
        </w:rPr>
        <w:t>樊融 叶思贝 陈钇霖 项英桐 商宸 邹腾纬 林予曦</w:t>
      </w:r>
    </w:p>
    <w:p>
      <w:pPr>
        <w:pStyle w:val="Normal.0"/>
        <w:spacing w:before="120" w:after="120"/>
        <w:jc w:val="right"/>
      </w:pPr>
      <w:r>
        <w:rPr>
          <w:rFonts w:ascii="Calibri" w:cs="Calibri" w:hAnsi="Calibri" w:eastAsia="Calibri"/>
          <w:sz w:val="24"/>
          <w:szCs w:val="24"/>
          <w:lang w:val="zh-TW" w:eastAsia="zh-TW"/>
        </w:rPr>
      </w:r>
    </w:p>
    <w:sectPr>
      <w:headerReference w:type="default" r:id="rId4"/>
      <w:footerReference w:type="default" r:id="rId5"/>
      <w:pgSz w:w="11920" w:h="16840" w:orient="portrait"/>
      <w:pgMar w:top="720" w:right="720" w:bottom="720" w:left="72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ingFang SC Regular">
    <w:charset w:val="00"/>
    <w:family w:val="roman"/>
    <w:pitch w:val="default"/>
  </w:font>
  <w:font w:name="黑体">
    <w:charset w:val="00"/>
    <w:family w:val="roman"/>
    <w:pitch w:val="default"/>
  </w:font>
  <w:font w:name="Songti SC Regular">
    <w:charset w:val="00"/>
    <w:family w:val="roman"/>
    <w:pitch w:val="default"/>
  </w:font>
  <w:font w:name="Songti SC Bold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页眉与页脚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ingFang SC Regular" w:cs="Arial Unicode MS" w:hAnsi="PingFang SC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黑体" w:cs="黑体" w:hAnsi="黑体" w:eastAsia="黑体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